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186ED6">
      <w:pPr>
        <w:spacing w:after="156" w:afterLines="50" w:line="600" w:lineRule="exact"/>
        <w:jc w:val="center"/>
        <w:rPr>
          <w:rFonts w:hint="eastAsia" w:ascii="华文中宋" w:hAnsi="华文中宋" w:eastAsia="华文中宋" w:cs="华文中宋"/>
          <w:color w:val="000000"/>
          <w:sz w:val="44"/>
          <w:szCs w:val="44"/>
        </w:rPr>
      </w:pPr>
      <w:bookmarkStart w:id="0" w:name="_GoBack"/>
      <w:bookmarkEnd w:id="0"/>
    </w:p>
    <w:p w14:paraId="6D5D79E7">
      <w:pPr>
        <w:spacing w:after="156" w:afterLines="50" w:line="600" w:lineRule="exact"/>
        <w:jc w:val="center"/>
        <w:rPr>
          <w:rFonts w:hint="eastAsia" w:ascii="华文中宋" w:hAnsi="华文中宋" w:eastAsia="华文中宋" w:cs="华文中宋"/>
          <w:color w:val="000000"/>
          <w:sz w:val="44"/>
          <w:szCs w:val="44"/>
        </w:rPr>
      </w:pPr>
      <w:r>
        <w:rPr>
          <w:rFonts w:hint="eastAsia" w:ascii="华文中宋" w:hAnsi="华文中宋" w:eastAsia="华文中宋" w:cs="华文中宋"/>
          <w:color w:val="000000"/>
          <w:sz w:val="44"/>
          <w:szCs w:val="44"/>
        </w:rPr>
        <w:t>中国新闻奖</w:t>
      </w:r>
      <w:r>
        <w:rPr>
          <w:rFonts w:hint="eastAsia" w:ascii="华文中宋" w:hAnsi="华文中宋" w:eastAsia="华文中宋" w:cs="华文中宋"/>
          <w:color w:val="000000"/>
          <w:sz w:val="44"/>
          <w:szCs w:val="44"/>
          <w:lang w:val="en-US" w:eastAsia="zh-CN"/>
        </w:rPr>
        <w:t>新闻期刊</w:t>
      </w:r>
      <w:r>
        <w:rPr>
          <w:rFonts w:hint="eastAsia" w:ascii="华文中宋" w:hAnsi="华文中宋" w:eastAsia="华文中宋" w:cs="华文中宋"/>
          <w:color w:val="000000"/>
          <w:sz w:val="44"/>
          <w:szCs w:val="44"/>
        </w:rPr>
        <w:t>参评作品推荐表</w:t>
      </w:r>
    </w:p>
    <w:tbl>
      <w:tblPr>
        <w:tblStyle w:val="4"/>
        <w:tblW w:w="981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512"/>
        <w:gridCol w:w="888"/>
        <w:gridCol w:w="1323"/>
        <w:gridCol w:w="1005"/>
        <w:gridCol w:w="872"/>
        <w:gridCol w:w="947"/>
        <w:gridCol w:w="620"/>
        <w:gridCol w:w="1122"/>
        <w:gridCol w:w="1532"/>
      </w:tblGrid>
      <w:tr w14:paraId="01047C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D56D54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 w14:paraId="54EF6A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560997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</w:rPr>
              <w:t>片区化推进乡村全面振兴的齐鲁答卷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D0A6EB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 w14:paraId="7C625C7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648297C0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eastAsia="zh-CN"/>
              </w:rPr>
              <w:t>深度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</w:rPr>
              <w:t>报道</w:t>
            </w:r>
          </w:p>
        </w:tc>
      </w:tr>
      <w:tr w14:paraId="09617F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  <w:jc w:val="center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420C0C5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 w14:paraId="241941F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14:paraId="78038E3E">
            <w:pPr>
              <w:spacing w:line="240" w:lineRule="exact"/>
              <w:ind w:firstLine="0" w:firstLineChars="0"/>
              <w:rPr>
                <w:rFonts w:hint="default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9605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B74E81B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0EF934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eastAsia="zh-CN"/>
              </w:rPr>
              <w:t>新闻通讯</w:t>
            </w:r>
          </w:p>
        </w:tc>
      </w:tr>
      <w:tr w14:paraId="7CAAA2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595770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 w14:paraId="0A8AF4DF">
            <w:pPr>
              <w:spacing w:line="380" w:lineRule="exact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0FE0B5D4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3AAC3C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eastAsia="zh-CN"/>
              </w:rPr>
              <w:t>中文</w:t>
            </w:r>
          </w:p>
        </w:tc>
      </w:tr>
      <w:tr w14:paraId="5438D8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9E259F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 w14:paraId="5622138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7453BB5E">
            <w:pPr>
              <w:spacing w:line="240" w:lineRule="exact"/>
              <w:ind w:firstLine="0" w:firstLineChars="0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</w:rPr>
              <w:t>王一民、何晓霞、周嵘、杨宗辉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B47EE1F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218707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eastAsia="zh-CN"/>
              </w:rPr>
              <w:t>杨宗辉</w:t>
            </w:r>
          </w:p>
        </w:tc>
      </w:tr>
      <w:tr w14:paraId="371D05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D26F75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 w14:paraId="0880A548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4A51632B">
            <w:pPr>
              <w:spacing w:line="260" w:lineRule="exact"/>
              <w:ind w:firstLine="0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</w:rPr>
              <w:t>中国农村杂志社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1916C51B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 w14:paraId="7B62230C"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1B3ABA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</w:rPr>
              <w:t>微观三农、《农村工作通讯》</w:t>
            </w:r>
          </w:p>
        </w:tc>
      </w:tr>
      <w:tr w14:paraId="53AD1B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5" w:hRule="exact"/>
          <w:jc w:val="center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04B8C04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6F72177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  <w:lang w:eastAsia="zh-CN"/>
              </w:rPr>
              <w:t>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 w14:paraId="06FC5C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</w:rPr>
              <w:t>《农村工作通讯》202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</w:rPr>
              <w:t>年第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</w:rPr>
              <w:t>期</w:t>
            </w: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1A6D9E8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发布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日期</w:t>
            </w:r>
          </w:p>
        </w:tc>
        <w:tc>
          <w:tcPr>
            <w:tcW w:w="4221" w:type="dxa"/>
            <w:gridSpan w:val="4"/>
            <w:tcBorders>
              <w:tl2br w:val="nil"/>
              <w:tr2bl w:val="nil"/>
            </w:tcBorders>
            <w:vAlign w:val="center"/>
          </w:tcPr>
          <w:p w14:paraId="7A66C554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</w:rPr>
              <w:t>202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</w:rPr>
              <w:t>日</w:t>
            </w:r>
          </w:p>
        </w:tc>
      </w:tr>
      <w:tr w14:paraId="60708A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  <w:jc w:val="center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2FC99FA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hint="default" w:ascii="华文中宋" w:hAnsi="华文中宋" w:eastAsia="华文中宋"/>
                <w:color w:val="000000"/>
                <w:sz w:val="24"/>
                <w:szCs w:val="21"/>
                <w:lang w:val="en-US"/>
              </w:rPr>
              <w:t>作品</w:t>
            </w:r>
          </w:p>
          <w:p w14:paraId="32F6A552">
            <w:pPr>
              <w:spacing w:line="320" w:lineRule="exact"/>
              <w:jc w:val="center"/>
              <w:rPr>
                <w:rFonts w:hint="eastAsia" w:ascii="方正仿宋_GB2312" w:hAnsi="仿宋" w:eastAsia="华文中宋"/>
                <w:color w:val="000000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val="en-US" w:eastAsia="zh-CN"/>
              </w:rPr>
              <w:t>链接</w:t>
            </w:r>
          </w:p>
        </w:tc>
        <w:tc>
          <w:tcPr>
            <w:tcW w:w="5035" w:type="dxa"/>
            <w:gridSpan w:val="5"/>
            <w:tcBorders>
              <w:tl2br w:val="nil"/>
              <w:tr2bl w:val="nil"/>
            </w:tcBorders>
            <w:vAlign w:val="center"/>
          </w:tcPr>
          <w:p w14:paraId="78E7ED31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</w:rPr>
              <w:t>https://mp.weixin.qq.com/s/wEgcsXhA05WZvt7NZK8MTg</w:t>
            </w: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79A0CB2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 w14:paraId="748372C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3B30F695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  <w:lang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eastAsia="zh-CN"/>
              </w:rPr>
              <w:t>否</w:t>
            </w:r>
          </w:p>
        </w:tc>
      </w:tr>
      <w:tr w14:paraId="6D9FA6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0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869C97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作</w:t>
            </w:r>
          </w:p>
          <w:p w14:paraId="4D61922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品</w:t>
            </w:r>
          </w:p>
          <w:p w14:paraId="33317C9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简</w:t>
            </w:r>
          </w:p>
          <w:p w14:paraId="55AC629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介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743816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en-US"/>
              </w:rPr>
              <w:t>《片区化推进乡村全面振兴的齐鲁答卷》是一篇深度调研报道，聚焦山东省以“片区化”模式破解乡村发展“单打独斗、资源碎片化”难题的创新实践。该作品在党的二十届四中全会召开前率先发布，对山东“片区化”经验进行了系统梳理。随后召开的二十届四中全会，明确提出“片区化推进乡村振兴”。 文章的选题不仅是对已取得成效的地方实践的总结，更是对上升为国家战略的重要发展方向的先行阐释与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超前呼应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en-US"/>
              </w:rPr>
              <w:t>，首次在新闻调研中系统梳理“片区化推进乡村全面振兴”的山东经验，具有开创性与方法论价值。</w:t>
            </w:r>
          </w:p>
          <w:p w14:paraId="40AEB0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en-US"/>
              </w:rPr>
              <w:t>报道选取青岛（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山东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en-US"/>
              </w:rPr>
              <w:t>东部沿海发达地区）与临沂（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山东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en-US"/>
              </w:rPr>
              <w:t>中西部欠发达地区）作为对比样本，验证了片区化方法论在不同基础条件下的普遍适用性。文章结构清晰，以“破题—解题—续题”层层递进：从直面传统乡村发展痛点，到阐释规划引领、产业融合、人才集聚等实践路径，再到展望深化方向，兼具政策深度与乡村温度。</w:t>
            </w:r>
          </w:p>
          <w:p w14:paraId="37A2A2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jc w:val="left"/>
              <w:textAlignment w:val="auto"/>
              <w:rPr>
                <w:rFonts w:hint="eastAsia" w:ascii="仿宋" w:hAnsi="仿宋" w:cs="仿宋"/>
                <w:color w:val="000000"/>
                <w:szCs w:val="22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en-US"/>
              </w:rPr>
              <w:t>该文首发于“微观三农”公众号，阅读量达7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884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en-US"/>
              </w:rPr>
              <w:t>，并被临沂市农业农村局、长沙市委党校等地方网站转载，开创了新闻调研中专题梳理“片区化推进乡村全面振兴”的先河，切中乡村振兴核心痛点，产生了积极的社会反响与行业参考价值。</w:t>
            </w:r>
          </w:p>
        </w:tc>
      </w:tr>
      <w:tr w14:paraId="05D052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  <w:jc w:val="center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7BFC70B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传</w:t>
            </w:r>
          </w:p>
          <w:p w14:paraId="0F6B8EA2">
            <w:pPr>
              <w:spacing w:line="32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播</w:t>
            </w:r>
          </w:p>
          <w:p w14:paraId="1A867DF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数</w:t>
            </w:r>
          </w:p>
          <w:p w14:paraId="0EFA37B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0B930050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全网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传播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436EEDCF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  <w:t>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vAlign w:val="center"/>
          </w:tcPr>
          <w:p w14:paraId="10EAC8E2"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</w:rPr>
              <w:t>https://mp.weixin.qq.com/s/wEgcsXhA05WZvt7NZK8MTg</w:t>
            </w:r>
          </w:p>
        </w:tc>
      </w:tr>
      <w:tr w14:paraId="5E5614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40CAB92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9C1F04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0CD586AA">
            <w:pPr>
              <w:spacing w:line="240" w:lineRule="exact"/>
              <w:jc w:val="center"/>
              <w:rPr>
                <w:rFonts w:hint="default" w:ascii="仿宋" w:hAnsi="仿宋" w:eastAsia="楷体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9BF1DC">
            <w:pPr>
              <w:spacing w:line="240" w:lineRule="exact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7884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B3F7F4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579A7769">
            <w:pPr>
              <w:spacing w:line="240" w:lineRule="exact"/>
              <w:jc w:val="center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 w14:paraId="5BE3E5F6">
            <w:pPr>
              <w:spacing w:line="240" w:lineRule="exact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1138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 w14:paraId="50FA0102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03DD5D6F">
            <w:pPr>
              <w:spacing w:line="240" w:lineRule="exact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0.95</w:t>
            </w:r>
          </w:p>
        </w:tc>
      </w:tr>
      <w:tr w14:paraId="065108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4" w:hRule="exac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C530D91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2AF5CE53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70360EC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25BBAAD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1F394BD1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1BE3FC92">
            <w:pPr>
              <w:spacing w:line="24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8"/>
              </w:rPr>
              <w:t>︶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7367EB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en-US"/>
              </w:rPr>
              <w:t>文章立足山东作为农业大省的省情，揭示其如何打破行政壁垒，以区域为单元进行系统规划、产业协同与资源整合，实现从“盆景”到“风景”的质变，为全国乡村振兴提供了可借鉴的“齐鲁样本”。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</w:rPr>
              <w:t>采写过程注重对比研究与案例典型性，既展现发达地区的高起点规划，也回答欠发达地区的“弯道超车”之问，体现了新闻调研的深度与平衡性。行文逻辑严谨、语言优美，将政策解读与乡村实景有机融合，使“从单点到片区”的变革跃然纸上。作品发布后传播效果显著，获多地官方机构转载，为全国乡村振兴工作提供了切实可行的参考文本，充分展现了主流媒体服务大局、推动实践的责任担当，符合中国新闻奖“引导有力、影响广泛、创新性强”的评选标准。特此推荐参评第三十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eastAsia="zh-CN"/>
              </w:rPr>
              <w:t>六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</w:rPr>
              <w:t>届中国新闻奖。</w:t>
            </w:r>
          </w:p>
          <w:p w14:paraId="42D49427"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bidi="ar"/>
              </w:rPr>
            </w:pPr>
          </w:p>
          <w:p w14:paraId="03CD5066"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bidi="ar"/>
              </w:rPr>
            </w:pPr>
          </w:p>
          <w:p w14:paraId="6BB184A4"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bidi="ar"/>
              </w:rPr>
            </w:pPr>
          </w:p>
          <w:p w14:paraId="779BD46B"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bidi="ar"/>
              </w:rPr>
            </w:pPr>
          </w:p>
          <w:p w14:paraId="54D8CB1C"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bidi="ar"/>
              </w:rPr>
            </w:pPr>
          </w:p>
          <w:p w14:paraId="31875D0E"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</w:t>
            </w:r>
          </w:p>
          <w:p w14:paraId="3109BF00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签名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：</w:t>
            </w:r>
          </w:p>
          <w:p w14:paraId="5DF11F77"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方正仿宋_GB2312"/>
                <w:color w:val="000000"/>
                <w:sz w:val="28"/>
              </w:rPr>
              <w:t xml:space="preserve">             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</w:tbl>
    <w:p w14:paraId="30942D31">
      <w:pPr>
        <w:rPr>
          <w:rFonts w:hint="eastAsia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7153B"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C75F0"/>
    <w:rsid w:val="0B6639AB"/>
    <w:rsid w:val="0CA535B9"/>
    <w:rsid w:val="0EDF48F0"/>
    <w:rsid w:val="0F53360D"/>
    <w:rsid w:val="103E4A53"/>
    <w:rsid w:val="145F76B8"/>
    <w:rsid w:val="1D733B41"/>
    <w:rsid w:val="28106D3F"/>
    <w:rsid w:val="291819B2"/>
    <w:rsid w:val="2DA5099A"/>
    <w:rsid w:val="33363900"/>
    <w:rsid w:val="34385FED"/>
    <w:rsid w:val="3A3C6A5B"/>
    <w:rsid w:val="43A966D6"/>
    <w:rsid w:val="45367649"/>
    <w:rsid w:val="497F0713"/>
    <w:rsid w:val="4CA94913"/>
    <w:rsid w:val="52F45CCD"/>
    <w:rsid w:val="55AC288F"/>
    <w:rsid w:val="5BAE6257"/>
    <w:rsid w:val="5D250E1A"/>
    <w:rsid w:val="67F500C6"/>
    <w:rsid w:val="6A1A1813"/>
    <w:rsid w:val="6C882B7F"/>
    <w:rsid w:val="6F231BEF"/>
    <w:rsid w:val="70CD2B43"/>
    <w:rsid w:val="73F26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1028</Words>
  <Characters>1148</Characters>
  <Lines>0</Lines>
  <Paragraphs>0</Paragraphs>
  <TotalTime>5</TotalTime>
  <ScaleCrop>false</ScaleCrop>
  <LinksUpToDate>false</LinksUpToDate>
  <CharactersWithSpaces>1245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蒙燕</cp:lastModifiedBy>
  <dcterms:modified xsi:type="dcterms:W3CDTF">2026-04-16T02:00:39Z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eyJoZGlkIjoiOWRjM2RiMjEzMDE4ZWRhODMyZDU0MDk5MTQxMGJmMDMiLCJ1c2VySWQiOiI0MjE4MzgxNjUifQ==</vt:lpwstr>
  </property>
  <property fmtid="{D5CDD505-2E9C-101B-9397-08002B2CF9AE}" pid="4" name="ICV">
    <vt:lpwstr>8861E53EAA2B4D66B22D27C34ACB090E_13</vt:lpwstr>
  </property>
</Properties>
</file>